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6B68" w:rsidRPr="00036B68" w:rsidP="00036B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99"/>
          <w:sz w:val="24"/>
          <w:szCs w:val="24"/>
          <w:lang w:eastAsia="ru-RU"/>
        </w:rPr>
      </w:pPr>
    </w:p>
    <w:p w:rsidR="008F3E8C" w:rsidRPr="00E97DFA" w:rsidP="008F3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D90010">
        <w:rPr>
          <w:rFonts w:ascii="Times New Roman" w:eastAsia="Times New Roman" w:hAnsi="Times New Roman" w:cs="Times New Roman"/>
          <w:sz w:val="24"/>
          <w:szCs w:val="24"/>
          <w:lang w:eastAsia="ru-RU"/>
        </w:rPr>
        <w:t>2334</w:t>
      </w: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>-00501/2025</w:t>
      </w:r>
    </w:p>
    <w:p w:rsidR="008F3E8C" w:rsidRPr="00E97DFA" w:rsidP="008F3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E97D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D90010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0005-01-2025-003936-62</w:t>
      </w:r>
    </w:p>
    <w:p w:rsidR="008F3E8C" w:rsidRPr="00E42F3D" w:rsidP="008F3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8C" w:rsidRPr="008F3E8C" w:rsidP="008F3E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3E8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8F3E8C" w:rsidRPr="008F3E8C" w:rsidP="008F3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8F3E8C" w:rsidRPr="008F3E8C" w:rsidP="008F3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3E8C" w:rsidRPr="008F3E8C" w:rsidP="008F3E8C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 2025 года    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8F3E8C" w:rsidRPr="008F3E8C" w:rsidP="008F3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8C" w:rsidRPr="008F3E8C" w:rsidP="008F3E8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6 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8F3E8C" w:rsidRPr="008F3E8C" w:rsidP="008F3E8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8F3E8C" w:rsidRPr="008F3E8C" w:rsidP="00DA501C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адресу: 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водительское удостоверение: 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F3E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3E8C" w:rsidP="008F3E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3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8F3E8C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 1 ст. 12.21.2 Кодекса Российской Федерации об административных правонарушениях,</w:t>
      </w:r>
    </w:p>
    <w:p w:rsidR="007F1F04" w:rsidRPr="007F1F04" w:rsidP="008F3E8C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F3E8C" w:rsidP="008F3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3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7F1F04" w:rsidRPr="007F1F04" w:rsidP="008F3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F3E8C" w:rsidP="00DA50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36B68" w:rsid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36B68"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6B68"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</w:t>
      </w:r>
      <w:r w:rsidRPr="00036B68" w:rsid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</w:t>
      </w:r>
      <w:r w:rsidRPr="00036B68" w:rsid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36B68" w:rsid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полуприцепа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36B68" w:rsid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перевозил 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опасный груз дизельное топливо ООН12.02 в количестве 16,621 т. Согласно ТТН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имел свидетельства о подготовке водителя транспортного средства, перевозящего опасный груз, предусмотренного пунктом 8.1.2.2 ДОПОГ. </w:t>
      </w:r>
      <w:r w:rsidR="00FC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3E8C" w:rsidRPr="00784FF9" w:rsidP="00DA5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F3E8C" w:rsidRPr="0094261F" w:rsidP="00DA501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A5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Л.Н.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036B68" w:rsidRPr="00036B68" w:rsidP="000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доказательство виновности лица, привлекаемого к административной ответст</w:t>
      </w:r>
      <w:r w:rsidRPr="0003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венности, в совершении правонарушения суду представлены следующие документы: </w:t>
      </w:r>
    </w:p>
    <w:p w:rsidR="00F521C3" w:rsidRPr="00F521C3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- протокол об административном правонарушении </w:t>
      </w:r>
      <w:r w:rsidR="00DA501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521C3">
        <w:rPr>
          <w:sz w:val="28"/>
          <w:szCs w:val="28"/>
        </w:rPr>
        <w:t xml:space="preserve">от </w:t>
      </w:r>
      <w:r w:rsidR="00DA501C">
        <w:rPr>
          <w:sz w:val="28"/>
          <w:szCs w:val="28"/>
        </w:rPr>
        <w:t>***</w:t>
      </w:r>
      <w:r w:rsidRPr="00F521C3">
        <w:rPr>
          <w:sz w:val="28"/>
          <w:szCs w:val="28"/>
        </w:rPr>
        <w:t xml:space="preserve">, при составлении которого, должностным лицом </w:t>
      </w:r>
      <w:r>
        <w:rPr>
          <w:sz w:val="28"/>
          <w:szCs w:val="28"/>
        </w:rPr>
        <w:t>Л</w:t>
      </w:r>
      <w:r w:rsidR="00DA501C">
        <w:rPr>
          <w:sz w:val="28"/>
          <w:szCs w:val="28"/>
        </w:rPr>
        <w:t>.</w:t>
      </w:r>
      <w:r>
        <w:rPr>
          <w:sz w:val="28"/>
          <w:szCs w:val="28"/>
        </w:rPr>
        <w:t xml:space="preserve">Л.Н. </w:t>
      </w:r>
      <w:r w:rsidRPr="00F521C3">
        <w:rPr>
          <w:sz w:val="28"/>
          <w:szCs w:val="28"/>
        </w:rPr>
        <w:t xml:space="preserve">были разъяснены его процессуальные права, </w:t>
      </w:r>
      <w:r w:rsidRPr="00F521C3">
        <w:rPr>
          <w:sz w:val="28"/>
          <w:szCs w:val="28"/>
        </w:rPr>
        <w:t xml:space="preserve">предусмотренные ст. 25.1 Кодекса РФ об АП, а также </w:t>
      </w:r>
      <w:r w:rsidRPr="00F521C3">
        <w:rPr>
          <w:sz w:val="28"/>
          <w:szCs w:val="28"/>
        </w:rPr>
        <w:t>возможность не свидетельствовать против себя (ст. 51 Конституции РФ), о чем в протоколе имеется его подпись;</w:t>
      </w:r>
    </w:p>
    <w:p w:rsidR="00F521C3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- протокол о задержании транспортного средства </w:t>
      </w:r>
      <w:r w:rsidR="00DA501C">
        <w:rPr>
          <w:sz w:val="28"/>
          <w:szCs w:val="28"/>
        </w:rPr>
        <w:t>***</w:t>
      </w:r>
      <w:r w:rsidRPr="00F521C3">
        <w:rPr>
          <w:sz w:val="28"/>
          <w:szCs w:val="28"/>
        </w:rPr>
        <w:t xml:space="preserve"> от </w:t>
      </w:r>
      <w:r w:rsidR="00DA501C">
        <w:rPr>
          <w:sz w:val="28"/>
          <w:szCs w:val="28"/>
        </w:rPr>
        <w:t>***</w:t>
      </w:r>
      <w:r w:rsidRPr="00F521C3">
        <w:rPr>
          <w:sz w:val="28"/>
          <w:szCs w:val="28"/>
        </w:rPr>
        <w:t>;</w:t>
      </w:r>
    </w:p>
    <w:p w:rsid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>
        <w:rPr>
          <w:sz w:val="28"/>
          <w:szCs w:val="28"/>
        </w:rPr>
        <w:t>- рапорт ИДПС ОВ ДП</w:t>
      </w:r>
      <w:r>
        <w:rPr>
          <w:sz w:val="28"/>
          <w:szCs w:val="28"/>
        </w:rPr>
        <w:t xml:space="preserve">С Госавтоинспекции ОМВД России по Нефтеюганскому району от 22.04.2025 по обстоятельствам административного правонарушения; 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>
        <w:rPr>
          <w:sz w:val="28"/>
          <w:szCs w:val="28"/>
        </w:rPr>
        <w:t>- акт постоянного рейда при осуществлении федерального государственного контроля (надзора) в области безопасности дорожного движения</w:t>
      </w:r>
      <w:r>
        <w:rPr>
          <w:sz w:val="28"/>
          <w:szCs w:val="28"/>
        </w:rPr>
        <w:t xml:space="preserve"> от 22.04.2025; </w:t>
      </w:r>
    </w:p>
    <w:p w:rsidR="00F521C3" w:rsidRPr="00F521C3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- объяснения </w:t>
      </w:r>
      <w:r>
        <w:rPr>
          <w:sz w:val="28"/>
          <w:szCs w:val="28"/>
        </w:rPr>
        <w:t>Л</w:t>
      </w:r>
      <w:r w:rsidR="00DA501C">
        <w:rPr>
          <w:sz w:val="28"/>
          <w:szCs w:val="28"/>
        </w:rPr>
        <w:t>.</w:t>
      </w:r>
      <w:r>
        <w:rPr>
          <w:sz w:val="28"/>
          <w:szCs w:val="28"/>
        </w:rPr>
        <w:t xml:space="preserve">Л.Н. </w:t>
      </w:r>
      <w:r w:rsidRPr="00F521C3">
        <w:rPr>
          <w:sz w:val="28"/>
          <w:szCs w:val="28"/>
        </w:rPr>
        <w:t xml:space="preserve">от </w:t>
      </w:r>
      <w:r>
        <w:rPr>
          <w:sz w:val="28"/>
          <w:szCs w:val="28"/>
        </w:rPr>
        <w:t>22.04</w:t>
      </w:r>
      <w:r w:rsidRPr="00F521C3">
        <w:rPr>
          <w:sz w:val="28"/>
          <w:szCs w:val="28"/>
        </w:rPr>
        <w:t xml:space="preserve">.2025, подтвердившего факт перевозки опасных грузов, не имея свидетельства о допуске транспортного средства к перевозке опасных грузов;  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- ко</w:t>
      </w:r>
      <w:r>
        <w:rPr>
          <w:sz w:val="28"/>
          <w:szCs w:val="28"/>
        </w:rPr>
        <w:t>пия водительского удостоверения, копия свидетельства о реги</w:t>
      </w:r>
      <w:r>
        <w:rPr>
          <w:sz w:val="28"/>
          <w:szCs w:val="28"/>
        </w:rPr>
        <w:t xml:space="preserve">страции тс; </w:t>
      </w:r>
    </w:p>
    <w:p w:rsid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- копия путевого листа специального автомобиля;</w:t>
      </w:r>
    </w:p>
    <w:p w:rsid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>
        <w:rPr>
          <w:sz w:val="28"/>
          <w:szCs w:val="28"/>
        </w:rPr>
        <w:t xml:space="preserve">- копия транспортной накладной; </w:t>
      </w:r>
    </w:p>
    <w:p w:rsidR="00F521C3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>
        <w:rPr>
          <w:sz w:val="28"/>
          <w:szCs w:val="28"/>
        </w:rPr>
        <w:t>- карточка операции с ВУ согласно которого водительское удостоверение Л</w:t>
      </w:r>
      <w:r w:rsidR="00DA501C">
        <w:rPr>
          <w:sz w:val="28"/>
          <w:szCs w:val="28"/>
        </w:rPr>
        <w:t>.</w:t>
      </w:r>
      <w:r>
        <w:rPr>
          <w:sz w:val="28"/>
          <w:szCs w:val="28"/>
        </w:rPr>
        <w:t xml:space="preserve">Л.Н. действительно до 30.08.2027; </w:t>
      </w:r>
    </w:p>
    <w:p w:rsidR="007F1F04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>
        <w:rPr>
          <w:sz w:val="28"/>
          <w:szCs w:val="28"/>
        </w:rPr>
        <w:t xml:space="preserve">- карточка учета транспортного средства; </w:t>
      </w:r>
    </w:p>
    <w:p w:rsidR="00F521C3" w:rsidRPr="00F521C3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- </w:t>
      </w:r>
      <w:r w:rsidR="007F1F04">
        <w:rPr>
          <w:sz w:val="28"/>
          <w:szCs w:val="28"/>
        </w:rPr>
        <w:t>реестр административных правонарушений</w:t>
      </w:r>
      <w:r w:rsidRPr="00F521C3">
        <w:rPr>
          <w:sz w:val="28"/>
          <w:szCs w:val="28"/>
        </w:rPr>
        <w:t>, приходит к следующему.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В соответствии с п. 23.5 ПДД РФ перевозка опасного груза осуществляется в соответствии со специальными правилами.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Часть 1 статьи 12.21.2 Кодекса РФ об административных правонарушениях предусмат</w:t>
      </w:r>
      <w:r w:rsidRPr="00F521C3">
        <w:rPr>
          <w:sz w:val="28"/>
          <w:szCs w:val="28"/>
        </w:rPr>
        <w:t>ривает административную ответственность за перевозку опасных грузов водителем, не имеющим свидетельства о подготовке водителей транспортных средств, перевозящих опасные грузы, свидетельства о допуске транспортного средства к перевозке опасных грузов, специ</w:t>
      </w:r>
      <w:r w:rsidRPr="00F521C3">
        <w:rPr>
          <w:sz w:val="28"/>
          <w:szCs w:val="28"/>
        </w:rPr>
        <w:t>ального разрешения, согласованного маршрута перевозки или аварийной карточки системы информации об опасности, предусмотренных правилами перевозки опасных грузов, а равно перевозка опасных грузов на транспортном средстве, конструкция которого не соответству</w:t>
      </w:r>
      <w:r w:rsidRPr="00F521C3">
        <w:rPr>
          <w:sz w:val="28"/>
          <w:szCs w:val="28"/>
        </w:rPr>
        <w:t>ет требованиям правил перевозки опасных грузов или на котором отсутствуют элементы системы информации об опасности либо оборудование или средства, применяемые для ликвидации последствий происшествия при перевозке опасных грузов, либо несоблюдение условий п</w:t>
      </w:r>
      <w:r w:rsidRPr="00F521C3">
        <w:rPr>
          <w:sz w:val="28"/>
          <w:szCs w:val="28"/>
        </w:rPr>
        <w:t>еревозки опасных грузов, предусмотренных указанными правилами.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На движение по автомобильным дорогам транспортного средства, осуществляющего перевозку опасных грузов, перевозчик должен получить </w:t>
      </w:r>
      <w:hyperlink r:id="rId4" w:history="1">
        <w:r w:rsidRPr="00F521C3">
          <w:rPr>
            <w:sz w:val="28"/>
            <w:szCs w:val="28"/>
          </w:rPr>
          <w:t>специальное разрешени</w:t>
        </w:r>
        <w:r w:rsidRPr="00F521C3">
          <w:rPr>
            <w:sz w:val="28"/>
            <w:szCs w:val="28"/>
          </w:rPr>
          <w:t>е</w:t>
        </w:r>
      </w:hyperlink>
      <w:r w:rsidRPr="00F521C3">
        <w:rPr>
          <w:sz w:val="28"/>
          <w:szCs w:val="28"/>
        </w:rPr>
        <w:t xml:space="preserve">, порядок выдачи которого утвержден </w:t>
      </w:r>
      <w:hyperlink r:id="rId5" w:history="1">
        <w:r w:rsidRPr="00F521C3">
          <w:rPr>
            <w:sz w:val="28"/>
            <w:szCs w:val="28"/>
          </w:rPr>
          <w:t>приказом</w:t>
        </w:r>
      </w:hyperlink>
      <w:r w:rsidRPr="00F521C3">
        <w:rPr>
          <w:sz w:val="28"/>
          <w:szCs w:val="28"/>
        </w:rPr>
        <w:t xml:space="preserve"> Минтранса РФ от 04.07.2011 N 179.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С 25.04.2012 г. на территории Российской Федерации перевозка опасных грузов автомобильным транспортом в городском, пригородном и междуг</w:t>
      </w:r>
      <w:r w:rsidRPr="00F521C3">
        <w:rPr>
          <w:sz w:val="28"/>
          <w:szCs w:val="28"/>
        </w:rPr>
        <w:t>ородном сообщении осуществляется в соответствии с требованиями, установленными приложениями А и B  Европейского соглашения о международной дорожной перевозке опасных грузов от 30 сентября 1957 г. (ДОПОГ).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В главе 8 Приложения «В» ДОПОГ изложены общие требо</w:t>
      </w:r>
      <w:r w:rsidRPr="00F521C3">
        <w:rPr>
          <w:sz w:val="28"/>
          <w:szCs w:val="28"/>
        </w:rPr>
        <w:t>вания, касающиеся экипажей, оборудования и эксплуатации транспортных средств, а также документации.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В соответствии с п. 8.1.2.2 ДОПОГ на транспортной единице должны находится следующие документы: - свидетельство о допущении к перевозке, - свидетельство о п</w:t>
      </w:r>
      <w:r w:rsidRPr="00F521C3">
        <w:rPr>
          <w:sz w:val="28"/>
          <w:szCs w:val="28"/>
        </w:rPr>
        <w:t>одготовке водителя, - копия утверждения, выданного компетентным органом.</w:t>
      </w:r>
    </w:p>
    <w:p w:rsidR="00F521C3" w:rsidRPr="00F521C3" w:rsidP="00F521C3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Из раздела 8.1.4, пунктов 8.1.4.1 и 8.1.4.2 ДОПОГ также следует, что транспортные единицы, перевозящие опасные грузы, должны быть оснащены противопожарным оборудованием, в том числе п</w:t>
      </w:r>
      <w:r w:rsidRPr="00F521C3">
        <w:rPr>
          <w:sz w:val="28"/>
          <w:szCs w:val="28"/>
        </w:rPr>
        <w:t>ереносными огнетушителями для тушения пожаров. При этом переносные огнетушители, соответствующие положению пунктов 8.1.4.1 и 8.1.4.2 ДОПОГ, должны быть снабжены пломбой, свидетельствующей о том, что они не использовались. Кроме того, они должны иметь марки</w:t>
      </w:r>
      <w:r w:rsidRPr="00F521C3">
        <w:rPr>
          <w:sz w:val="28"/>
          <w:szCs w:val="28"/>
        </w:rPr>
        <w:t>ровку, указывающую на соответствие стандарту, признанному компетентным органом, и надпись, указывающую дату (месяц, год) следующей периодической проверки или истечения максимально допустимого срока службы, в зависимости от конкретного, случая. Огнетушители</w:t>
      </w:r>
      <w:r w:rsidRPr="00F521C3">
        <w:rPr>
          <w:sz w:val="28"/>
          <w:szCs w:val="28"/>
        </w:rPr>
        <w:t xml:space="preserve"> должны подвергаться периодическим проверкам в соответствии с утверждёнными национальными стандартами, с тем, чтобы гарантировать их функциональную надежность.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Согласно требованиям п. 9.1.3.1 ДОПОГ транспортные средства, предназначенные для перевозки опасн</w:t>
      </w:r>
      <w:r w:rsidRPr="00F521C3">
        <w:rPr>
          <w:sz w:val="28"/>
          <w:szCs w:val="28"/>
        </w:rPr>
        <w:t>ых грузов в определенных режимах (EX/II, EX/III, FL, OX, AT, MEMU), имели соответствующее свидетельство о допущении, выданное компетентным органом страны регистрации. Это свидетельство подтверждает, что транспортное средство соответствует требованиям, пред</w:t>
      </w:r>
      <w:r w:rsidRPr="00F521C3">
        <w:rPr>
          <w:sz w:val="28"/>
          <w:szCs w:val="28"/>
        </w:rPr>
        <w:t xml:space="preserve">ъявляемым к перевозке опасных грузов в конкретном режиме. Транспортное </w:t>
      </w:r>
      <w:r w:rsidRPr="007F1F04">
        <w:rPr>
          <w:sz w:val="28"/>
          <w:szCs w:val="28"/>
        </w:rPr>
        <w:t>средство должно быть оснащено таким свидетельством, подтверждающим его соответствие требованиям ДОПОГ для конкретного типа перевозки. Свидетельство подтверждает, что транспортное средст</w:t>
      </w:r>
      <w:r w:rsidRPr="007F1F04">
        <w:rPr>
          <w:sz w:val="28"/>
          <w:szCs w:val="28"/>
        </w:rPr>
        <w:t>во прошло необходимые проверки и соответствует требованиям, установленным для определенного класса опасных грузов и режима перевозки.</w:t>
      </w:r>
    </w:p>
    <w:p w:rsidR="00F521C3" w:rsidRPr="00F521C3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7F1F04">
        <w:rPr>
          <w:sz w:val="28"/>
          <w:szCs w:val="28"/>
        </w:rPr>
        <w:t xml:space="preserve">При рассмотрении материала установлено, что </w:t>
      </w:r>
      <w:r w:rsidRPr="007F1F04" w:rsidR="007F1F04">
        <w:rPr>
          <w:sz w:val="28"/>
          <w:szCs w:val="28"/>
        </w:rPr>
        <w:t>Л</w:t>
      </w:r>
      <w:r w:rsidR="00DA501C">
        <w:rPr>
          <w:sz w:val="28"/>
          <w:szCs w:val="28"/>
        </w:rPr>
        <w:t>.</w:t>
      </w:r>
      <w:r w:rsidRPr="007F1F04" w:rsidR="007F1F04">
        <w:rPr>
          <w:sz w:val="28"/>
          <w:szCs w:val="28"/>
        </w:rPr>
        <w:t xml:space="preserve">Л.Н.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 в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 час.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 мин. на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, водитель управлял транспортным средством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 г/з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 в составе полуприцепа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 xml:space="preserve"> г/н </w:t>
      </w:r>
      <w:r w:rsidR="00DA501C">
        <w:rPr>
          <w:sz w:val="28"/>
          <w:szCs w:val="28"/>
        </w:rPr>
        <w:t>***</w:t>
      </w:r>
      <w:r w:rsidRPr="007F1F04" w:rsidR="007F1F04">
        <w:rPr>
          <w:sz w:val="28"/>
          <w:szCs w:val="28"/>
        </w:rPr>
        <w:t>, перевозил опасный груз дизельное топливо ООН12.02 в количестве 16,621 т.</w:t>
      </w:r>
      <w:r w:rsidRPr="00F521C3">
        <w:rPr>
          <w:sz w:val="28"/>
          <w:szCs w:val="28"/>
        </w:rPr>
        <w:t>, не имея свидетельства о допуске тран</w:t>
      </w:r>
      <w:r w:rsidRPr="00F521C3">
        <w:rPr>
          <w:sz w:val="28"/>
          <w:szCs w:val="28"/>
        </w:rPr>
        <w:t xml:space="preserve">спортного средства к перевозке опасных грузов, чем нарушил </w:t>
      </w:r>
      <w:r w:rsidR="007F1F04">
        <w:rPr>
          <w:sz w:val="28"/>
          <w:szCs w:val="28"/>
        </w:rPr>
        <w:t>п. 8.1.2.2</w:t>
      </w:r>
      <w:r w:rsidRPr="00F521C3">
        <w:rPr>
          <w:sz w:val="28"/>
          <w:szCs w:val="28"/>
        </w:rPr>
        <w:t xml:space="preserve"> ДОПОГ. </w:t>
      </w:r>
    </w:p>
    <w:p w:rsidR="00F521C3" w:rsidRPr="00F521C3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7F1F04" w:rsidR="007F1F04">
        <w:rPr>
          <w:sz w:val="28"/>
          <w:szCs w:val="28"/>
        </w:rPr>
        <w:t>Л</w:t>
      </w:r>
      <w:r w:rsidR="00DA501C">
        <w:rPr>
          <w:sz w:val="28"/>
          <w:szCs w:val="28"/>
        </w:rPr>
        <w:t>.</w:t>
      </w:r>
      <w:r w:rsidRPr="007F1F04" w:rsidR="007F1F04">
        <w:rPr>
          <w:sz w:val="28"/>
          <w:szCs w:val="28"/>
        </w:rPr>
        <w:t xml:space="preserve">Л.Н. </w:t>
      </w:r>
      <w:r w:rsidRPr="00F521C3">
        <w:rPr>
          <w:sz w:val="28"/>
          <w:szCs w:val="28"/>
        </w:rPr>
        <w:t xml:space="preserve">в совершении административного </w:t>
      </w:r>
      <w:r w:rsidRPr="00F521C3">
        <w:rPr>
          <w:sz w:val="28"/>
          <w:szCs w:val="28"/>
        </w:rPr>
        <w:t xml:space="preserve">правонарушения, предусмотренного ч. 1 ст. 12.21.2 Кодекса РФ об АП, подтверждается имеющимися в материалах дела непротиворечивыми, последовательными, соответствующими критерию допустимости доказательствами. Существенных недостатков, влекущих невозможность </w:t>
      </w:r>
      <w:r w:rsidRPr="00F521C3">
        <w:rPr>
          <w:sz w:val="28"/>
          <w:szCs w:val="28"/>
        </w:rPr>
        <w:t xml:space="preserve">использования в качестве доказательств, в том числе процессуальных нарушений, данные документы не содержат. 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F521C3">
        <w:rPr>
          <w:sz w:val="28"/>
          <w:szCs w:val="28"/>
        </w:rPr>
        <w:t xml:space="preserve">отсутствие смягчающих </w:t>
      </w:r>
      <w:r w:rsidRPr="00F521C3">
        <w:rPr>
          <w:sz w:val="28"/>
          <w:szCs w:val="28"/>
        </w:rPr>
        <w:t>и отягчающих административную ответственность обстоятельств, и считает необходимым назначить административное наказание в</w:t>
      </w:r>
      <w:r>
        <w:rPr>
          <w:sz w:val="28"/>
          <w:szCs w:val="28"/>
        </w:rPr>
        <w:t xml:space="preserve"> виде административного штрафа.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F521C3">
        <w:rPr>
          <w:sz w:val="28"/>
          <w:szCs w:val="28"/>
        </w:rPr>
        <w:t>На основании вышеизложенного, и руководствуясь 29.10 Кодекса Российской Федерации об административных п</w:t>
      </w:r>
      <w:r w:rsidRPr="00F521C3">
        <w:rPr>
          <w:sz w:val="28"/>
          <w:szCs w:val="28"/>
        </w:rPr>
        <w:t>равонарушениях, миро</w:t>
      </w:r>
      <w:r>
        <w:rPr>
          <w:sz w:val="28"/>
          <w:szCs w:val="28"/>
        </w:rPr>
        <w:t>вой</w:t>
      </w:r>
      <w:r>
        <w:rPr>
          <w:sz w:val="28"/>
          <w:szCs w:val="28"/>
        </w:rPr>
        <w:tab/>
        <w:t xml:space="preserve"> судья </w:t>
      </w:r>
    </w:p>
    <w:p w:rsidR="007F1F04" w:rsidRPr="007F1F04" w:rsidP="007F1F04">
      <w:pPr>
        <w:pStyle w:val="BodyTextIndent"/>
        <w:tabs>
          <w:tab w:val="left" w:pos="4820"/>
        </w:tabs>
        <w:ind w:left="-426" w:firstLine="720"/>
        <w:rPr>
          <w:sz w:val="16"/>
          <w:szCs w:val="16"/>
        </w:rPr>
      </w:pPr>
    </w:p>
    <w:p w:rsidR="007F1F04" w:rsidP="007F1F04">
      <w:pPr>
        <w:pStyle w:val="BodyTextIndent"/>
        <w:tabs>
          <w:tab w:val="left" w:pos="4820"/>
        </w:tabs>
        <w:ind w:left="-426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7F1F04" w:rsidRPr="007F1F04" w:rsidP="007F1F04">
      <w:pPr>
        <w:pStyle w:val="BodyTextIndent"/>
        <w:tabs>
          <w:tab w:val="left" w:pos="4820"/>
        </w:tabs>
        <w:ind w:left="-426" w:firstLine="720"/>
        <w:rPr>
          <w:sz w:val="16"/>
          <w:szCs w:val="16"/>
        </w:rPr>
      </w:pPr>
    </w:p>
    <w:p w:rsidR="007F1F04" w:rsidP="00DA501C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E42F3D">
        <w:rPr>
          <w:sz w:val="28"/>
          <w:szCs w:val="28"/>
        </w:rPr>
        <w:t xml:space="preserve">признать </w:t>
      </w:r>
      <w:r w:rsidR="00DA501C">
        <w:rPr>
          <w:sz w:val="28"/>
          <w:szCs w:val="28"/>
        </w:rPr>
        <w:t xml:space="preserve">Л.Н.Н. </w:t>
      </w:r>
      <w:r w:rsidRPr="00E42F3D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sz w:val="28"/>
          <w:szCs w:val="28"/>
        </w:rPr>
        <w:t>ч</w:t>
      </w:r>
      <w:r w:rsidRPr="008F3E8C">
        <w:rPr>
          <w:rFonts w:eastAsia="Calibri"/>
          <w:sz w:val="28"/>
          <w:szCs w:val="28"/>
        </w:rPr>
        <w:t>. 1 ст. 12.21.2</w:t>
      </w:r>
      <w:r>
        <w:rPr>
          <w:rFonts w:eastAsia="Calibri"/>
          <w:sz w:val="28"/>
          <w:szCs w:val="28"/>
        </w:rPr>
        <w:t xml:space="preserve"> </w:t>
      </w:r>
      <w:r w:rsidRPr="00E42F3D">
        <w:rPr>
          <w:sz w:val="28"/>
          <w:szCs w:val="28"/>
        </w:rPr>
        <w:t>Кодекса Российской Федерации об административных правонарушениях, и назначить ему а</w:t>
      </w:r>
      <w:r w:rsidRPr="00E42F3D">
        <w:rPr>
          <w:sz w:val="28"/>
          <w:szCs w:val="28"/>
        </w:rPr>
        <w:t xml:space="preserve">дминистративное наказание в виде административного штрафа в размере </w:t>
      </w:r>
      <w:r>
        <w:rPr>
          <w:sz w:val="28"/>
          <w:szCs w:val="28"/>
        </w:rPr>
        <w:t>2</w:t>
      </w:r>
      <w:r w:rsidRPr="00E42F3D">
        <w:rPr>
          <w:sz w:val="28"/>
          <w:szCs w:val="28"/>
        </w:rPr>
        <w:t>500 (</w:t>
      </w:r>
      <w:r>
        <w:rPr>
          <w:sz w:val="28"/>
          <w:szCs w:val="28"/>
        </w:rPr>
        <w:t>двух тысяч</w:t>
      </w:r>
      <w:r w:rsidRPr="00E42F3D">
        <w:rPr>
          <w:sz w:val="28"/>
          <w:szCs w:val="28"/>
        </w:rPr>
        <w:t xml:space="preserve"> пятьсот) рублей.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  <w:lang w:eastAsia="ar-SA"/>
        </w:rPr>
      </w:pPr>
      <w:r w:rsidRPr="00E42F3D">
        <w:rPr>
          <w:sz w:val="28"/>
          <w:szCs w:val="28"/>
          <w:lang w:eastAsia="ar-SA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</w:t>
      </w:r>
      <w:r w:rsidRPr="00E42F3D">
        <w:rPr>
          <w:sz w:val="28"/>
          <w:szCs w:val="28"/>
          <w:lang w:eastAsia="ar-SA"/>
        </w:rPr>
        <w:t>г. Ханты-Мансийск БИК 007162163 ОКТМО 71</w:t>
      </w:r>
      <w:r>
        <w:rPr>
          <w:sz w:val="28"/>
          <w:szCs w:val="28"/>
          <w:lang w:eastAsia="ar-SA"/>
        </w:rPr>
        <w:t>818000</w:t>
      </w:r>
      <w:r w:rsidRPr="00E42F3D">
        <w:rPr>
          <w:sz w:val="28"/>
          <w:szCs w:val="28"/>
          <w:lang w:eastAsia="ar-SA"/>
        </w:rPr>
        <w:t xml:space="preserve"> ИНН 8601010390 КПП 860101001, Кор./сч. 40102810245370000007 КБК 188 116 01123 01 0001 140 УИН 18810486250</w:t>
      </w:r>
      <w:r>
        <w:rPr>
          <w:sz w:val="28"/>
          <w:szCs w:val="28"/>
          <w:lang w:eastAsia="ar-SA"/>
        </w:rPr>
        <w:t>730008230</w:t>
      </w:r>
      <w:r w:rsidRPr="00E42F3D">
        <w:rPr>
          <w:sz w:val="28"/>
          <w:szCs w:val="28"/>
          <w:lang w:eastAsia="ar-SA"/>
        </w:rPr>
        <w:t>.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9D1E95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</w:t>
      </w:r>
      <w:r w:rsidRPr="009D1E95">
        <w:rPr>
          <w:sz w:val="28"/>
          <w:szCs w:val="28"/>
        </w:rPr>
        <w:t xml:space="preserve">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</w:t>
      </w:r>
      <w:r w:rsidRPr="009D1E95">
        <w:rPr>
          <w:sz w:val="28"/>
          <w:szCs w:val="28"/>
        </w:rPr>
        <w:t xml:space="preserve"> 12.10, частью 3 статьи 12.12, частью 5 статьи 12.15, 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</w:t>
      </w:r>
      <w:r w:rsidRPr="009D1E95">
        <w:rPr>
          <w:sz w:val="28"/>
          <w:szCs w:val="28"/>
        </w:rPr>
        <w:t>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</w:t>
      </w:r>
      <w:r w:rsidRPr="009D1E95">
        <w:rPr>
          <w:sz w:val="28"/>
          <w:szCs w:val="28"/>
        </w:rPr>
        <w:t>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</w:t>
      </w:r>
      <w:r w:rsidRPr="00B36E19">
        <w:rPr>
          <w:sz w:val="28"/>
          <w:szCs w:val="28"/>
        </w:rPr>
        <w:t>й</w:t>
      </w:r>
      <w:r w:rsidRPr="00B36E19">
        <w:rPr>
          <w:sz w:val="28"/>
          <w:szCs w:val="28"/>
        </w:rPr>
        <w:t>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</w:t>
      </w:r>
      <w:r w:rsidRPr="00B36E19">
        <w:rPr>
          <w:sz w:val="28"/>
          <w:szCs w:val="28"/>
        </w:rPr>
        <w:t>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BE3FC6">
        <w:rPr>
          <w:sz w:val="28"/>
          <w:szCs w:val="28"/>
        </w:rPr>
        <w:t>Административный штраф подлежит уплате не позднее шестидесяти дней со дня вступлени</w:t>
      </w:r>
      <w:r w:rsidRPr="00BE3FC6">
        <w:rPr>
          <w:sz w:val="28"/>
          <w:szCs w:val="28"/>
        </w:rPr>
        <w:t>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F1F04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BE3FC6">
        <w:rPr>
          <w:sz w:val="28"/>
          <w:szCs w:val="28"/>
        </w:rPr>
        <w:t>Разъяснить, что за неуплату админис</w:t>
      </w:r>
      <w:r w:rsidRPr="00BE3FC6">
        <w:rPr>
          <w:sz w:val="28"/>
          <w:szCs w:val="28"/>
        </w:rPr>
        <w:t>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25F48" w:rsidRPr="00BE3FC6" w:rsidP="007F1F04">
      <w:pPr>
        <w:pStyle w:val="BodyTextIndent"/>
        <w:tabs>
          <w:tab w:val="left" w:pos="4820"/>
        </w:tabs>
        <w:ind w:left="-426" w:firstLine="720"/>
        <w:rPr>
          <w:sz w:val="28"/>
          <w:szCs w:val="28"/>
        </w:rPr>
      </w:pPr>
      <w:r w:rsidRPr="00BE3FC6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sz w:val="28"/>
          <w:szCs w:val="28"/>
        </w:rPr>
        <w:t>дней</w:t>
      </w:r>
      <w:r w:rsidRPr="00BE3FC6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36B68" w:rsidP="000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48" w:rsidRPr="00036B68" w:rsidP="00036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48" w:rsidRPr="00725F48" w:rsidP="00725F48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25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подпись</w:t>
      </w:r>
      <w:r w:rsidRPr="0072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Д.Р. Сабитова</w:t>
      </w:r>
    </w:p>
    <w:p w:rsidR="00725F48" w:rsidRPr="00725F48" w:rsidP="00725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725F48" w:rsidRPr="00725F48" w:rsidP="00725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25F48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725F48" w:rsidRPr="00725F48" w:rsidP="00725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48" w:rsidRPr="00725F48" w:rsidP="00725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48" w:rsidRPr="00725F48" w:rsidP="00725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48" w:rsidRPr="00E97DFA" w:rsidP="00725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Подлинник находится в судебном участке № 6 Нефтеюганско</w:t>
      </w: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го судебного района ХМАО-Югры, в деле № 5-</w:t>
      </w:r>
      <w:r w:rsidR="007F1F0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2334</w:t>
      </w:r>
      <w:r w:rsidRPr="00E97DFA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-0501 за 2025 год.</w:t>
      </w:r>
    </w:p>
    <w:p w:rsidR="00725F48" w:rsidRPr="00E97DFA" w:rsidP="00725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725F48" w:rsidRPr="00E97DFA" w:rsidP="00725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48" w:rsidRPr="00E42F3D" w:rsidP="00725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F48" w:rsidRPr="00E42F3D" w:rsidP="00725F48">
      <w:pPr>
        <w:spacing w:after="0" w:line="240" w:lineRule="auto"/>
        <w:rPr>
          <w:sz w:val="28"/>
          <w:szCs w:val="28"/>
        </w:rPr>
      </w:pPr>
    </w:p>
    <w:p w:rsidR="00413112" w:rsidP="00725F48">
      <w:pPr>
        <w:suppressAutoHyphens/>
        <w:spacing w:after="0" w:line="240" w:lineRule="auto"/>
        <w:ind w:firstLine="567"/>
        <w:jc w:val="both"/>
      </w:pPr>
    </w:p>
    <w:sectPr w:rsidSect="00FF0880">
      <w:headerReference w:type="defaul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71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A501C">
      <w:rPr>
        <w:noProof/>
      </w:rPr>
      <w:t>5</w:t>
    </w:r>
    <w:r>
      <w:fldChar w:fldCharType="end"/>
    </w:r>
  </w:p>
  <w:p w:rsidR="002C1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7B"/>
    <w:rsid w:val="00034B7B"/>
    <w:rsid w:val="00036B68"/>
    <w:rsid w:val="00087EFB"/>
    <w:rsid w:val="001A6C5A"/>
    <w:rsid w:val="002C1719"/>
    <w:rsid w:val="00364BF4"/>
    <w:rsid w:val="00413112"/>
    <w:rsid w:val="00725F48"/>
    <w:rsid w:val="00784FF9"/>
    <w:rsid w:val="007F1F04"/>
    <w:rsid w:val="008B2D87"/>
    <w:rsid w:val="008F3E8C"/>
    <w:rsid w:val="00913E20"/>
    <w:rsid w:val="0094261F"/>
    <w:rsid w:val="009D1E95"/>
    <w:rsid w:val="00B36E19"/>
    <w:rsid w:val="00BE3FC6"/>
    <w:rsid w:val="00CE2090"/>
    <w:rsid w:val="00D90010"/>
    <w:rsid w:val="00DA501C"/>
    <w:rsid w:val="00E42F3D"/>
    <w:rsid w:val="00E97DFA"/>
    <w:rsid w:val="00F521C3"/>
    <w:rsid w:val="00FC488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857456-1859-4163-AD2A-14FE130F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36B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36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6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64BF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rsid w:val="00F521C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F52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rsid w:val="00F521C3"/>
    <w:pPr>
      <w:shd w:val="clear" w:color="auto" w:fill="FFFFFF"/>
      <w:spacing w:after="0" w:line="322" w:lineRule="atLeast"/>
      <w:ind w:left="24" w:right="14" w:firstLine="773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5072160.11000" TargetMode="External" /><Relationship Id="rId5" Type="http://schemas.openxmlformats.org/officeDocument/2006/relationships/hyperlink" Target="garantF1://55072160.100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